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917E" w14:textId="7A274B15" w:rsidR="00126BC9" w:rsidRDefault="00AB4829" w:rsidP="00E378D0">
      <w:pPr>
        <w:spacing w:after="0"/>
        <w:ind w:left="567" w:right="567"/>
        <w:jc w:val="center"/>
        <w:rPr>
          <w:rFonts w:ascii="Abadi" w:hAnsi="Abadi"/>
          <w:sz w:val="24"/>
          <w:szCs w:val="24"/>
        </w:rPr>
      </w:pPr>
      <w:r>
        <w:rPr>
          <w:rFonts w:ascii="Ebrima" w:hAnsi="Ebrima"/>
          <w:b/>
          <w:bCs/>
          <w:noProof/>
          <w:sz w:val="20"/>
          <w:szCs w:val="20"/>
        </w:rPr>
        <mc:AlternateContent>
          <mc:Choice Requires="wps">
            <w:drawing>
              <wp:anchor distT="0" distB="0" distL="114300" distR="114300" simplePos="0" relativeHeight="251655168" behindDoc="0" locked="0" layoutInCell="1" allowOverlap="1" wp14:anchorId="7899DD6B" wp14:editId="6177F742">
                <wp:simplePos x="0" y="0"/>
                <wp:positionH relativeFrom="page">
                  <wp:posOffset>0</wp:posOffset>
                </wp:positionH>
                <wp:positionV relativeFrom="page">
                  <wp:posOffset>-85725</wp:posOffset>
                </wp:positionV>
                <wp:extent cx="7559675" cy="1079500"/>
                <wp:effectExtent l="0" t="0" r="22225" b="25400"/>
                <wp:wrapNone/>
                <wp:docPr id="1" name="Rectangle 1"/>
                <wp:cNvGraphicFramePr/>
                <a:graphic xmlns:a="http://schemas.openxmlformats.org/drawingml/2006/main">
                  <a:graphicData uri="http://schemas.microsoft.com/office/word/2010/wordprocessingShape">
                    <wps:wsp>
                      <wps:cNvSpPr/>
                      <wps:spPr>
                        <a:xfrm>
                          <a:off x="0" y="0"/>
                          <a:ext cx="7559675" cy="1079500"/>
                        </a:xfrm>
                        <a:prstGeom prst="rect">
                          <a:avLst/>
                        </a:prstGeom>
                        <a:solidFill>
                          <a:srgbClr val="0073BB"/>
                        </a:solidFill>
                        <a:ln>
                          <a:solidFill>
                            <a:srgbClr val="0073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D0091" id="Rectangle 1" o:spid="_x0000_s1026" style="position:absolute;margin-left:0;margin-top:-6.75pt;width:595.2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" fillcolor="#0073bb" strokecolor="#0073bb" strokeweight="1pt">
                <w10:wrap anchorx="page" anchory="page"/>
              </v:rect>
            </w:pict>
          </mc:Fallback>
        </mc:AlternateContent>
      </w:r>
      <w:r w:rsidR="00760920">
        <w:rPr>
          <w:rFonts w:ascii="Ebrima" w:hAnsi="Ebrima"/>
          <w:noProof/>
          <w:sz w:val="20"/>
          <w:szCs w:val="20"/>
        </w:rPr>
        <w:drawing>
          <wp:anchor distT="0" distB="0" distL="114300" distR="114300" simplePos="0" relativeHeight="251668480" behindDoc="0" locked="0" layoutInCell="1" allowOverlap="1" wp14:anchorId="15A15DF9" wp14:editId="3231A00B">
            <wp:simplePos x="0" y="0"/>
            <wp:positionH relativeFrom="margin">
              <wp:posOffset>2173740</wp:posOffset>
            </wp:positionH>
            <wp:positionV relativeFrom="page">
              <wp:posOffset>241935</wp:posOffset>
            </wp:positionV>
            <wp:extent cx="2606675" cy="61722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67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8D0">
        <w:rPr>
          <w:rFonts w:ascii="Abadi" w:hAnsi="Abadi"/>
          <w:sz w:val="24"/>
          <w:szCs w:val="24"/>
        </w:rPr>
        <w:t>EQUALITY AND DIVERSITY POLICY</w:t>
      </w:r>
    </w:p>
    <w:p w14:paraId="451F80E0" w14:textId="649FE179" w:rsidR="00E378D0" w:rsidRDefault="00E378D0" w:rsidP="00E378D0">
      <w:pPr>
        <w:spacing w:after="0"/>
        <w:ind w:left="567" w:right="567"/>
        <w:jc w:val="center"/>
        <w:rPr>
          <w:rFonts w:ascii="Abadi" w:hAnsi="Abadi"/>
          <w:sz w:val="24"/>
          <w:szCs w:val="24"/>
        </w:rPr>
      </w:pPr>
    </w:p>
    <w:p w14:paraId="6499BF76" w14:textId="79531045" w:rsidR="00E378D0" w:rsidRDefault="00E378D0" w:rsidP="00E378D0">
      <w:pPr>
        <w:spacing w:after="0"/>
        <w:ind w:left="567" w:right="567"/>
        <w:jc w:val="center"/>
        <w:rPr>
          <w:rFonts w:ascii="Abadi" w:hAnsi="Abadi"/>
          <w:sz w:val="24"/>
          <w:szCs w:val="24"/>
        </w:rPr>
      </w:pPr>
    </w:p>
    <w:p w14:paraId="5FEFE890" w14:textId="77777777" w:rsidR="00AB4829" w:rsidRDefault="00AB4829" w:rsidP="00AB4829">
      <w:pPr>
        <w:pStyle w:val="ListParagraph"/>
        <w:spacing w:after="0"/>
        <w:ind w:left="927" w:right="567"/>
        <w:rPr>
          <w:rFonts w:ascii="Abadi" w:hAnsi="Abadi"/>
          <w:sz w:val="24"/>
          <w:szCs w:val="24"/>
        </w:rPr>
      </w:pPr>
    </w:p>
    <w:p w14:paraId="1D14E1C4" w14:textId="34133CDD" w:rsidR="00AB4829" w:rsidRDefault="00AB4829" w:rsidP="00AB4829">
      <w:pPr>
        <w:pStyle w:val="ListParagraph"/>
        <w:spacing w:after="0"/>
        <w:ind w:left="927" w:right="567"/>
        <w:rPr>
          <w:rFonts w:ascii="Abadi" w:hAnsi="Abadi"/>
          <w:sz w:val="24"/>
          <w:szCs w:val="24"/>
        </w:rPr>
      </w:pPr>
    </w:p>
    <w:p w14:paraId="62AB84D4" w14:textId="4F3536F1" w:rsidR="00CD31FD" w:rsidRPr="008769A1" w:rsidRDefault="00027D29" w:rsidP="008769A1">
      <w:pPr>
        <w:spacing w:after="0"/>
        <w:ind w:right="567"/>
        <w:jc w:val="center"/>
        <w:rPr>
          <w:rFonts w:cstheme="minorHAnsi"/>
          <w:b/>
          <w:bCs/>
          <w:sz w:val="36"/>
          <w:szCs w:val="36"/>
        </w:rPr>
      </w:pPr>
      <w:r w:rsidRPr="008769A1">
        <w:rPr>
          <w:rFonts w:cstheme="minorHAnsi"/>
          <w:b/>
          <w:bCs/>
          <w:sz w:val="36"/>
          <w:szCs w:val="36"/>
        </w:rPr>
        <w:t>MODERN SLAVERY ACT 2015 COMPLIANCE POLICY</w:t>
      </w:r>
    </w:p>
    <w:p w14:paraId="3E24764E" w14:textId="7693EE53" w:rsidR="00027D29" w:rsidRPr="00980D35" w:rsidRDefault="00027D29" w:rsidP="00027D29">
      <w:pPr>
        <w:spacing w:after="0"/>
        <w:ind w:right="567"/>
        <w:rPr>
          <w:rFonts w:cstheme="minorHAnsi"/>
          <w:sz w:val="24"/>
          <w:szCs w:val="24"/>
        </w:rPr>
      </w:pPr>
    </w:p>
    <w:p w14:paraId="242AD426" w14:textId="397D7D8A" w:rsidR="00027D29" w:rsidRPr="00980D35" w:rsidRDefault="00027D29" w:rsidP="00027D29">
      <w:pPr>
        <w:spacing w:after="0"/>
        <w:ind w:right="567"/>
        <w:rPr>
          <w:rFonts w:cstheme="minorHAnsi"/>
          <w:sz w:val="24"/>
          <w:szCs w:val="24"/>
        </w:rPr>
      </w:pPr>
      <w:bookmarkStart w:id="0" w:name="_Hlk130469727"/>
      <w:r w:rsidRPr="00980D35">
        <w:rPr>
          <w:rFonts w:cstheme="minorHAnsi"/>
          <w:sz w:val="24"/>
          <w:szCs w:val="24"/>
        </w:rPr>
        <w:t xml:space="preserve">Praybourne Limited trading as PULSAR® </w:t>
      </w:r>
      <w:bookmarkEnd w:id="0"/>
      <w:r w:rsidRPr="00980D35">
        <w:rPr>
          <w:rFonts w:cstheme="minorHAnsi"/>
          <w:sz w:val="24"/>
          <w:szCs w:val="24"/>
        </w:rPr>
        <w:t>is below the level of turnover whereby it would be obliged to produce a slavery and human trafficking statement for each financial year of the Company pursuant to section 54 of The Modern Slavery Act 2015 (The Act).  However</w:t>
      </w:r>
      <w:r w:rsidR="00980D35">
        <w:rPr>
          <w:rFonts w:cstheme="minorHAnsi"/>
          <w:sz w:val="24"/>
          <w:szCs w:val="24"/>
        </w:rPr>
        <w:t>,</w:t>
      </w:r>
      <w:r w:rsidRPr="00980D35">
        <w:rPr>
          <w:rFonts w:cstheme="minorHAnsi"/>
          <w:sz w:val="24"/>
          <w:szCs w:val="24"/>
        </w:rPr>
        <w:t xml:space="preserve"> the Company wishes to state its commitment to compliance with The Act which by section 1 provides that an offence is committed if a person holds another person in slavery or servitude and the circumstances are such that the person knows or ought to know that the other person is held in slavery or servitude or a person requires another person to perform forced and compulsory labour and the circumstances are such that the person knows or ought to know that the other person is being required to perform forced or compulsory labour.</w:t>
      </w:r>
    </w:p>
    <w:p w14:paraId="1A5CFF24" w14:textId="7CB4B628" w:rsidR="00027D29" w:rsidRPr="00980D35" w:rsidRDefault="00027D29" w:rsidP="00027D29">
      <w:pPr>
        <w:spacing w:after="0"/>
        <w:ind w:right="567"/>
        <w:rPr>
          <w:rFonts w:cstheme="minorHAnsi"/>
          <w:sz w:val="24"/>
          <w:szCs w:val="24"/>
        </w:rPr>
      </w:pPr>
    </w:p>
    <w:p w14:paraId="274C816A" w14:textId="67210BD0" w:rsidR="00027D29" w:rsidRPr="00980D35" w:rsidRDefault="00027D29" w:rsidP="00027D29">
      <w:pPr>
        <w:spacing w:after="0"/>
        <w:ind w:right="567"/>
        <w:rPr>
          <w:rFonts w:cstheme="minorHAnsi"/>
          <w:sz w:val="24"/>
          <w:szCs w:val="24"/>
        </w:rPr>
      </w:pPr>
      <w:r w:rsidRPr="00980D35">
        <w:rPr>
          <w:rFonts w:cstheme="minorHAnsi"/>
          <w:b/>
          <w:bCs/>
          <w:sz w:val="24"/>
          <w:szCs w:val="24"/>
        </w:rPr>
        <w:t>Definition of Slavery and Servitude</w:t>
      </w:r>
      <w:r w:rsidR="00980D35" w:rsidRPr="00980D35">
        <w:rPr>
          <w:rFonts w:cstheme="minorHAnsi"/>
          <w:b/>
          <w:bCs/>
          <w:sz w:val="24"/>
          <w:szCs w:val="24"/>
        </w:rPr>
        <w:t>:</w:t>
      </w:r>
    </w:p>
    <w:p w14:paraId="4D7BC01B" w14:textId="3D6F0714" w:rsidR="00027D29" w:rsidRPr="00980D35" w:rsidRDefault="00027D29" w:rsidP="00027D29">
      <w:pPr>
        <w:spacing w:after="0"/>
        <w:ind w:right="567"/>
        <w:rPr>
          <w:rFonts w:cstheme="minorHAnsi"/>
          <w:sz w:val="24"/>
          <w:szCs w:val="24"/>
        </w:rPr>
      </w:pPr>
      <w:r w:rsidRPr="00980D35">
        <w:rPr>
          <w:rFonts w:cstheme="minorHAnsi"/>
          <w:sz w:val="24"/>
          <w:szCs w:val="24"/>
        </w:rPr>
        <w:t>Slavery is the status or condition of a person over whom a</w:t>
      </w:r>
      <w:r w:rsidR="00980D35">
        <w:rPr>
          <w:rFonts w:cstheme="minorHAnsi"/>
          <w:sz w:val="24"/>
          <w:szCs w:val="24"/>
        </w:rPr>
        <w:t>l</w:t>
      </w:r>
      <w:r w:rsidRPr="00980D35">
        <w:rPr>
          <w:rFonts w:cstheme="minorHAnsi"/>
          <w:sz w:val="24"/>
          <w:szCs w:val="24"/>
        </w:rPr>
        <w:t>l or any of the powers attaching to the right of ownership are exercised. Thus</w:t>
      </w:r>
      <w:r w:rsidR="00980D35">
        <w:rPr>
          <w:rFonts w:cstheme="minorHAnsi"/>
          <w:sz w:val="24"/>
          <w:szCs w:val="24"/>
        </w:rPr>
        <w:t>,</w:t>
      </w:r>
      <w:r w:rsidRPr="00980D35">
        <w:rPr>
          <w:rFonts w:cstheme="minorHAnsi"/>
          <w:sz w:val="24"/>
          <w:szCs w:val="24"/>
        </w:rPr>
        <w:t xml:space="preserve"> the key element</w:t>
      </w:r>
      <w:r w:rsidR="00817D5E" w:rsidRPr="00980D35">
        <w:rPr>
          <w:rFonts w:cstheme="minorHAnsi"/>
          <w:sz w:val="24"/>
          <w:szCs w:val="24"/>
        </w:rPr>
        <w:t xml:space="preserve"> of slavery is behaviour on the part of an offender as if he or she did own the person (even though ownership of a person is legally impossible), which deprives the victim of their freedom; see 1926 Slavery Convention.</w:t>
      </w:r>
    </w:p>
    <w:p w14:paraId="72B9C856" w14:textId="5C477D22" w:rsidR="00817D5E" w:rsidRPr="00980D35" w:rsidRDefault="00817D5E" w:rsidP="00027D29">
      <w:pPr>
        <w:spacing w:after="0"/>
        <w:ind w:right="567"/>
        <w:rPr>
          <w:rFonts w:cstheme="minorHAnsi"/>
          <w:sz w:val="24"/>
          <w:szCs w:val="24"/>
        </w:rPr>
      </w:pPr>
    </w:p>
    <w:p w14:paraId="3D985ECA" w14:textId="1519F5E1" w:rsidR="00817D5E" w:rsidRPr="00980D35" w:rsidRDefault="00817D5E" w:rsidP="00027D29">
      <w:pPr>
        <w:spacing w:after="0"/>
        <w:ind w:right="567"/>
        <w:rPr>
          <w:rFonts w:cstheme="minorHAnsi"/>
          <w:sz w:val="24"/>
          <w:szCs w:val="24"/>
        </w:rPr>
      </w:pPr>
      <w:r w:rsidRPr="00980D35">
        <w:rPr>
          <w:rFonts w:cstheme="minorHAnsi"/>
          <w:sz w:val="24"/>
          <w:szCs w:val="24"/>
        </w:rPr>
        <w:t>Servitude is the obligation to provide services that is imposed by the use of coercion and includes the obligation for a ‘serf’ to live on another’s property and the impossibility of changing his or her condition.</w:t>
      </w:r>
    </w:p>
    <w:p w14:paraId="1FFA7475" w14:textId="66527D6D" w:rsidR="00817D5E" w:rsidRPr="00980D35" w:rsidRDefault="00817D5E" w:rsidP="00027D29">
      <w:pPr>
        <w:spacing w:after="0"/>
        <w:ind w:right="567"/>
        <w:rPr>
          <w:rFonts w:cstheme="minorHAnsi"/>
          <w:sz w:val="24"/>
          <w:szCs w:val="24"/>
        </w:rPr>
      </w:pPr>
    </w:p>
    <w:p w14:paraId="63E5A5DD" w14:textId="350A4C62" w:rsidR="00817D5E" w:rsidRPr="00980D35" w:rsidRDefault="00817D5E" w:rsidP="00027D29">
      <w:pPr>
        <w:spacing w:after="0"/>
        <w:ind w:right="567"/>
        <w:rPr>
          <w:rFonts w:cstheme="minorHAnsi"/>
          <w:sz w:val="24"/>
          <w:szCs w:val="24"/>
        </w:rPr>
      </w:pPr>
      <w:r w:rsidRPr="00980D35">
        <w:rPr>
          <w:rFonts w:cstheme="minorHAnsi"/>
          <w:b/>
          <w:bCs/>
          <w:sz w:val="24"/>
          <w:szCs w:val="24"/>
        </w:rPr>
        <w:t>Definition of Forced or Compulsory Labour</w:t>
      </w:r>
      <w:r w:rsidR="00980D35">
        <w:rPr>
          <w:rFonts w:cstheme="minorHAnsi"/>
          <w:b/>
          <w:bCs/>
          <w:sz w:val="24"/>
          <w:szCs w:val="24"/>
        </w:rPr>
        <w:t>:</w:t>
      </w:r>
    </w:p>
    <w:p w14:paraId="66CA9338" w14:textId="729A1C98" w:rsidR="00817D5E" w:rsidRPr="00980D35" w:rsidRDefault="00817D5E" w:rsidP="00027D29">
      <w:pPr>
        <w:spacing w:after="0"/>
        <w:ind w:right="567"/>
        <w:rPr>
          <w:rFonts w:cstheme="minorHAnsi"/>
          <w:sz w:val="24"/>
          <w:szCs w:val="24"/>
        </w:rPr>
      </w:pPr>
      <w:r w:rsidRPr="00980D35">
        <w:rPr>
          <w:rFonts w:cstheme="minorHAnsi"/>
          <w:sz w:val="24"/>
          <w:szCs w:val="24"/>
        </w:rPr>
        <w:t>Work or service is exacted from any person under the menace of any penalty and for which the person has not offered himself or herself voluntarily; see ILO’s Forced Labour Convention 29 and Protocol.</w:t>
      </w:r>
    </w:p>
    <w:p w14:paraId="1D47E76F" w14:textId="6A865CAC" w:rsidR="00817D5E" w:rsidRPr="00980D35" w:rsidRDefault="00817D5E" w:rsidP="00027D29">
      <w:pPr>
        <w:spacing w:after="0"/>
        <w:ind w:right="567"/>
        <w:rPr>
          <w:rFonts w:cstheme="minorHAnsi"/>
          <w:sz w:val="24"/>
          <w:szCs w:val="24"/>
        </w:rPr>
      </w:pPr>
    </w:p>
    <w:p w14:paraId="3C7B7BC0" w14:textId="19BCE8FE" w:rsidR="00817D5E" w:rsidRPr="00980D35" w:rsidRDefault="00817D5E" w:rsidP="00027D29">
      <w:pPr>
        <w:spacing w:after="0"/>
        <w:ind w:right="567"/>
        <w:rPr>
          <w:rFonts w:cstheme="minorHAnsi"/>
          <w:sz w:val="24"/>
          <w:szCs w:val="24"/>
        </w:rPr>
      </w:pPr>
      <w:r w:rsidRPr="00980D35">
        <w:rPr>
          <w:rFonts w:cstheme="minorHAnsi"/>
          <w:b/>
          <w:bCs/>
          <w:sz w:val="24"/>
          <w:szCs w:val="24"/>
        </w:rPr>
        <w:t>Definition of Human Trafficking</w:t>
      </w:r>
      <w:r w:rsidR="00980D35">
        <w:rPr>
          <w:rFonts w:cstheme="minorHAnsi"/>
          <w:b/>
          <w:bCs/>
          <w:sz w:val="24"/>
          <w:szCs w:val="24"/>
        </w:rPr>
        <w:t>:</w:t>
      </w:r>
    </w:p>
    <w:p w14:paraId="0FB36A28" w14:textId="0801A2A9" w:rsidR="00817D5E" w:rsidRPr="00980D35" w:rsidRDefault="00817D5E" w:rsidP="00027D29">
      <w:pPr>
        <w:spacing w:after="0"/>
        <w:ind w:right="567"/>
        <w:rPr>
          <w:rFonts w:cstheme="minorHAnsi"/>
          <w:sz w:val="24"/>
          <w:szCs w:val="24"/>
        </w:rPr>
      </w:pPr>
      <w:r w:rsidRPr="00980D35">
        <w:rPr>
          <w:rFonts w:cstheme="minorHAnsi"/>
          <w:sz w:val="24"/>
          <w:szCs w:val="24"/>
        </w:rPr>
        <w:t>By section 2 of The Act</w:t>
      </w:r>
      <w:r w:rsidR="00980D35">
        <w:rPr>
          <w:rFonts w:cstheme="minorHAnsi"/>
          <w:sz w:val="24"/>
          <w:szCs w:val="24"/>
        </w:rPr>
        <w:t xml:space="preserve">, </w:t>
      </w:r>
      <w:r w:rsidRPr="00980D35">
        <w:rPr>
          <w:rFonts w:cstheme="minorHAnsi"/>
          <w:sz w:val="24"/>
          <w:szCs w:val="24"/>
        </w:rPr>
        <w:t>it is an offence for a person to arrange or facilitate the travel of another person with a view to that other being exploited.</w:t>
      </w:r>
    </w:p>
    <w:p w14:paraId="1C1740C8" w14:textId="431CF6C6" w:rsidR="00817D5E" w:rsidRPr="00980D35" w:rsidRDefault="00817D5E" w:rsidP="00027D29">
      <w:pPr>
        <w:spacing w:after="0"/>
        <w:ind w:right="567"/>
        <w:rPr>
          <w:rFonts w:cstheme="minorHAnsi"/>
          <w:sz w:val="24"/>
          <w:szCs w:val="24"/>
        </w:rPr>
      </w:pPr>
    </w:p>
    <w:p w14:paraId="6C37ED39" w14:textId="77F2C61F" w:rsidR="00817D5E" w:rsidRPr="00980D35" w:rsidRDefault="00817D5E" w:rsidP="00027D29">
      <w:pPr>
        <w:spacing w:after="0"/>
        <w:ind w:right="567"/>
        <w:rPr>
          <w:rFonts w:cstheme="minorHAnsi"/>
          <w:sz w:val="24"/>
          <w:szCs w:val="24"/>
        </w:rPr>
      </w:pPr>
      <w:r w:rsidRPr="00980D35">
        <w:rPr>
          <w:rFonts w:cstheme="minorHAnsi"/>
          <w:b/>
          <w:bCs/>
          <w:sz w:val="24"/>
          <w:szCs w:val="24"/>
        </w:rPr>
        <w:t>The Company’s Commitment</w:t>
      </w:r>
      <w:r w:rsidR="00980D35">
        <w:rPr>
          <w:rFonts w:cstheme="minorHAnsi"/>
          <w:b/>
          <w:bCs/>
          <w:sz w:val="24"/>
          <w:szCs w:val="24"/>
        </w:rPr>
        <w:t>:</w:t>
      </w:r>
    </w:p>
    <w:p w14:paraId="3792284A" w14:textId="57CDD348" w:rsidR="00817D5E" w:rsidRPr="00980D35" w:rsidRDefault="00817D5E" w:rsidP="00027D29">
      <w:pPr>
        <w:spacing w:after="0"/>
        <w:ind w:right="567"/>
        <w:rPr>
          <w:rFonts w:cstheme="minorHAnsi"/>
          <w:sz w:val="24"/>
          <w:szCs w:val="24"/>
        </w:rPr>
      </w:pPr>
      <w:r w:rsidRPr="00980D35">
        <w:rPr>
          <w:rFonts w:cstheme="minorHAnsi"/>
          <w:sz w:val="24"/>
          <w:szCs w:val="24"/>
        </w:rPr>
        <w:t>This policy reinforces the Company’s commitment to the principles stated in its Ethical Trading Policy (POL 00</w:t>
      </w:r>
      <w:r w:rsidR="00980D35">
        <w:rPr>
          <w:rFonts w:cstheme="minorHAnsi"/>
          <w:sz w:val="24"/>
          <w:szCs w:val="24"/>
        </w:rPr>
        <w:t>3</w:t>
      </w:r>
      <w:r w:rsidRPr="00980D35">
        <w:rPr>
          <w:rFonts w:cstheme="minorHAnsi"/>
          <w:sz w:val="24"/>
          <w:szCs w:val="24"/>
        </w:rPr>
        <w:t>) that in it and its supply chain</w:t>
      </w:r>
      <w:r w:rsidR="00980D35">
        <w:rPr>
          <w:rFonts w:cstheme="minorHAnsi"/>
          <w:sz w:val="24"/>
          <w:szCs w:val="24"/>
        </w:rPr>
        <w:t>,</w:t>
      </w:r>
      <w:r w:rsidRPr="00980D35">
        <w:rPr>
          <w:rFonts w:cstheme="minorHAnsi"/>
          <w:sz w:val="24"/>
          <w:szCs w:val="24"/>
        </w:rPr>
        <w:t xml:space="preserve"> employment is freely chosen and that there is no forced, bonded or involuntary labour or human trafficking. It re-states its commitment in the context of its understanding of The Act.</w:t>
      </w:r>
    </w:p>
    <w:p w14:paraId="535F7484" w14:textId="1005CEC9" w:rsidR="00817D5E" w:rsidRPr="00980D35" w:rsidRDefault="00817D5E" w:rsidP="00027D29">
      <w:pPr>
        <w:spacing w:after="0"/>
        <w:ind w:right="567"/>
        <w:rPr>
          <w:rFonts w:cstheme="minorHAnsi"/>
          <w:sz w:val="24"/>
          <w:szCs w:val="24"/>
        </w:rPr>
      </w:pPr>
    </w:p>
    <w:p w14:paraId="0A468A53" w14:textId="695D3ADB" w:rsidR="00027D29" w:rsidRPr="00980D35" w:rsidRDefault="00817D5E" w:rsidP="00961BFF">
      <w:pPr>
        <w:spacing w:after="0"/>
        <w:ind w:right="567"/>
        <w:rPr>
          <w:rFonts w:cstheme="minorHAnsi"/>
          <w:sz w:val="24"/>
          <w:szCs w:val="24"/>
        </w:rPr>
      </w:pPr>
      <w:r w:rsidRPr="00980D35">
        <w:rPr>
          <w:rFonts w:cstheme="minorHAnsi"/>
          <w:sz w:val="24"/>
          <w:szCs w:val="24"/>
        </w:rPr>
        <w:t>Praybourne Limited trading as PULSAR® will comply with The Act and recognises its moral duty to influence its supply chain towards compliance. The Company expect members of its supply chain to comply with The Act or, where a supply chain member is situated outside the jurisdiction of the courts of England and Wales, to refrain from conduct or practices (pro</w:t>
      </w:r>
      <w:r w:rsidR="00961BFF" w:rsidRPr="00980D35">
        <w:rPr>
          <w:rFonts w:cstheme="minorHAnsi"/>
          <w:sz w:val="24"/>
          <w:szCs w:val="24"/>
        </w:rPr>
        <w:t>scribed conduct or practices) that would be offences under The Act if it was within the jurisdiction. Where a supplier or members of its supply chain will not comply with The Act</w:t>
      </w:r>
      <w:r w:rsidR="00980D35">
        <w:rPr>
          <w:rFonts w:cstheme="minorHAnsi"/>
          <w:sz w:val="24"/>
          <w:szCs w:val="24"/>
        </w:rPr>
        <w:t>,</w:t>
      </w:r>
      <w:r w:rsidR="00961BFF" w:rsidRPr="00980D35">
        <w:rPr>
          <w:rFonts w:cstheme="minorHAnsi"/>
          <w:sz w:val="24"/>
          <w:szCs w:val="24"/>
        </w:rPr>
        <w:t xml:space="preserve"> or refrain from proscribed conduct or practices or </w:t>
      </w:r>
      <w:r w:rsidR="00961BFF" w:rsidRPr="00980D35">
        <w:rPr>
          <w:rFonts w:cstheme="minorHAnsi"/>
          <w:sz w:val="24"/>
          <w:szCs w:val="24"/>
        </w:rPr>
        <w:lastRenderedPageBreak/>
        <w:t>seek to achieve compliance or abstention from proscribed conduct or practices</w:t>
      </w:r>
      <w:r w:rsidR="00980D35">
        <w:rPr>
          <w:rFonts w:cstheme="minorHAnsi"/>
          <w:sz w:val="24"/>
          <w:szCs w:val="24"/>
        </w:rPr>
        <w:t>,</w:t>
      </w:r>
      <w:r w:rsidR="00961BFF" w:rsidRPr="00980D35">
        <w:rPr>
          <w:rFonts w:cstheme="minorHAnsi"/>
          <w:sz w:val="24"/>
          <w:szCs w:val="24"/>
        </w:rPr>
        <w:t xml:space="preserve"> Praybourne Limited trading as PULSAR® will not do business with that supplier.</w:t>
      </w:r>
    </w:p>
    <w:p w14:paraId="4C3D4817" w14:textId="660366A1" w:rsidR="00961BFF" w:rsidRPr="00980D35" w:rsidRDefault="00961BFF" w:rsidP="00961BFF">
      <w:pPr>
        <w:spacing w:after="0"/>
        <w:ind w:right="567"/>
        <w:rPr>
          <w:rFonts w:cstheme="minorHAnsi"/>
          <w:sz w:val="24"/>
          <w:szCs w:val="24"/>
        </w:rPr>
      </w:pPr>
    </w:p>
    <w:p w14:paraId="5AB16A67" w14:textId="192A806C" w:rsidR="00961BFF" w:rsidRPr="00980D35" w:rsidRDefault="00961BFF" w:rsidP="00961BFF">
      <w:pPr>
        <w:spacing w:after="0"/>
        <w:ind w:right="567"/>
        <w:rPr>
          <w:rFonts w:cstheme="minorHAnsi"/>
          <w:sz w:val="24"/>
          <w:szCs w:val="24"/>
        </w:rPr>
      </w:pPr>
      <w:r w:rsidRPr="00980D35">
        <w:rPr>
          <w:rFonts w:cstheme="minorHAnsi"/>
          <w:b/>
          <w:bCs/>
          <w:sz w:val="24"/>
          <w:szCs w:val="24"/>
        </w:rPr>
        <w:t>Due Diligence</w:t>
      </w:r>
      <w:r w:rsidR="00980D35">
        <w:rPr>
          <w:rFonts w:cstheme="minorHAnsi"/>
          <w:b/>
          <w:bCs/>
          <w:sz w:val="24"/>
          <w:szCs w:val="24"/>
        </w:rPr>
        <w:t>:</w:t>
      </w:r>
    </w:p>
    <w:p w14:paraId="78D440B9" w14:textId="64DF25F2" w:rsidR="00961BFF" w:rsidRPr="00980D35" w:rsidRDefault="00961BFF" w:rsidP="00961BFF">
      <w:pPr>
        <w:spacing w:after="0"/>
        <w:ind w:right="567"/>
        <w:rPr>
          <w:rFonts w:cstheme="minorHAnsi"/>
          <w:sz w:val="24"/>
          <w:szCs w:val="24"/>
        </w:rPr>
      </w:pPr>
      <w:r w:rsidRPr="00980D35">
        <w:rPr>
          <w:rFonts w:cstheme="minorHAnsi"/>
          <w:sz w:val="24"/>
          <w:szCs w:val="24"/>
        </w:rPr>
        <w:t xml:space="preserve">The Company will risk assess all </w:t>
      </w:r>
      <w:r w:rsidR="00BD18EF" w:rsidRPr="00980D35">
        <w:rPr>
          <w:rFonts w:cstheme="minorHAnsi"/>
          <w:sz w:val="24"/>
          <w:szCs w:val="24"/>
        </w:rPr>
        <w:t>first-tier</w:t>
      </w:r>
      <w:r w:rsidRPr="00980D35">
        <w:rPr>
          <w:rFonts w:cstheme="minorHAnsi"/>
          <w:sz w:val="24"/>
          <w:szCs w:val="24"/>
        </w:rPr>
        <w:t xml:space="preserve"> suppliers or providers before placing them on its approved list. Risks to be assessed include risk of non-compliance with the Modern </w:t>
      </w:r>
      <w:r w:rsidR="00654DB7" w:rsidRPr="00980D35">
        <w:rPr>
          <w:rFonts w:cstheme="minorHAnsi"/>
          <w:sz w:val="24"/>
          <w:szCs w:val="24"/>
        </w:rPr>
        <w:t>Slavery</w:t>
      </w:r>
      <w:r w:rsidRPr="00980D35">
        <w:rPr>
          <w:rFonts w:cstheme="minorHAnsi"/>
          <w:sz w:val="24"/>
          <w:szCs w:val="24"/>
        </w:rPr>
        <w:t xml:space="preserve"> Act</w:t>
      </w:r>
      <w:r w:rsidR="00980D35">
        <w:rPr>
          <w:rFonts w:cstheme="minorHAnsi"/>
          <w:sz w:val="24"/>
          <w:szCs w:val="24"/>
        </w:rPr>
        <w:t>,</w:t>
      </w:r>
      <w:r w:rsidRPr="00980D35">
        <w:rPr>
          <w:rFonts w:cstheme="minorHAnsi"/>
          <w:sz w:val="24"/>
          <w:szCs w:val="24"/>
        </w:rPr>
        <w:t xml:space="preserve"> or non-compliance with the spirit of The Act if the Supplier or Provider is outside the jurisdiction.</w:t>
      </w:r>
    </w:p>
    <w:p w14:paraId="2B10031A" w14:textId="2053D803" w:rsidR="00961BFF" w:rsidRPr="00980D35" w:rsidRDefault="00961BFF" w:rsidP="00961BFF">
      <w:pPr>
        <w:spacing w:after="0"/>
        <w:ind w:right="567"/>
        <w:rPr>
          <w:rFonts w:cstheme="minorHAnsi"/>
          <w:sz w:val="24"/>
          <w:szCs w:val="24"/>
        </w:rPr>
      </w:pPr>
    </w:p>
    <w:p w14:paraId="4B929D37" w14:textId="561E8DE4" w:rsidR="00961BFF" w:rsidRPr="00980D35" w:rsidRDefault="00961BFF" w:rsidP="00961BFF">
      <w:pPr>
        <w:spacing w:after="0"/>
        <w:ind w:right="567"/>
        <w:rPr>
          <w:rFonts w:cstheme="minorHAnsi"/>
          <w:sz w:val="24"/>
          <w:szCs w:val="24"/>
        </w:rPr>
      </w:pPr>
      <w:r w:rsidRPr="00980D35">
        <w:rPr>
          <w:rFonts w:cstheme="minorHAnsi"/>
          <w:sz w:val="24"/>
          <w:szCs w:val="24"/>
        </w:rPr>
        <w:t xml:space="preserve">The Company’s Provider Assessment Procedure contains a risk scoring matrix. Any provider </w:t>
      </w:r>
      <w:r w:rsidR="00654DB7" w:rsidRPr="00980D35">
        <w:rPr>
          <w:rFonts w:cstheme="minorHAnsi"/>
          <w:sz w:val="24"/>
          <w:szCs w:val="24"/>
        </w:rPr>
        <w:t>that</w:t>
      </w:r>
      <w:r w:rsidRPr="00980D35">
        <w:rPr>
          <w:rFonts w:cstheme="minorHAnsi"/>
          <w:sz w:val="24"/>
          <w:szCs w:val="24"/>
        </w:rPr>
        <w:t xml:space="preserve"> scores a ‘</w:t>
      </w:r>
      <w:r w:rsidR="00654DB7" w:rsidRPr="00980D35">
        <w:rPr>
          <w:rFonts w:cstheme="minorHAnsi"/>
          <w:sz w:val="24"/>
          <w:szCs w:val="24"/>
        </w:rPr>
        <w:t>high’ risk</w:t>
      </w:r>
      <w:r w:rsidRPr="00980D35">
        <w:rPr>
          <w:rFonts w:cstheme="minorHAnsi"/>
          <w:sz w:val="24"/>
          <w:szCs w:val="24"/>
        </w:rPr>
        <w:t xml:space="preserve"> for any aspect of the assessment, including Modern Slavery Compliance, will be</w:t>
      </w:r>
      <w:r w:rsidR="00D701AF" w:rsidRPr="00980D35">
        <w:rPr>
          <w:rFonts w:cstheme="minorHAnsi"/>
          <w:sz w:val="24"/>
          <w:szCs w:val="24"/>
        </w:rPr>
        <w:t xml:space="preserve"> asked to provide/carry out a SMETA/SEDEX audit</w:t>
      </w:r>
      <w:r w:rsidRPr="00980D35">
        <w:rPr>
          <w:rFonts w:cstheme="minorHAnsi"/>
          <w:sz w:val="24"/>
          <w:szCs w:val="24"/>
        </w:rPr>
        <w:t xml:space="preserve">. Following this </w:t>
      </w:r>
      <w:r w:rsidR="00BD18EF" w:rsidRPr="00980D35">
        <w:rPr>
          <w:rFonts w:cstheme="minorHAnsi"/>
          <w:sz w:val="24"/>
          <w:szCs w:val="24"/>
        </w:rPr>
        <w:t>engagement,</w:t>
      </w:r>
      <w:r w:rsidRPr="00980D35">
        <w:rPr>
          <w:rFonts w:cstheme="minorHAnsi"/>
          <w:sz w:val="24"/>
          <w:szCs w:val="24"/>
        </w:rPr>
        <w:t xml:space="preserve"> the company takes a view as to whether to commission a local audit.</w:t>
      </w:r>
    </w:p>
    <w:p w14:paraId="6B905B8A" w14:textId="1C14B8B1" w:rsidR="00961BFF" w:rsidRPr="00980D35" w:rsidRDefault="00961BFF" w:rsidP="00961BFF">
      <w:pPr>
        <w:spacing w:after="0"/>
        <w:ind w:right="567"/>
        <w:rPr>
          <w:rFonts w:cstheme="minorHAnsi"/>
          <w:sz w:val="24"/>
          <w:szCs w:val="24"/>
        </w:rPr>
      </w:pPr>
    </w:p>
    <w:p w14:paraId="5F61D099" w14:textId="6D36515F" w:rsidR="00961BFF" w:rsidRPr="00980D35" w:rsidRDefault="00961BFF" w:rsidP="00961BFF">
      <w:pPr>
        <w:spacing w:after="0"/>
        <w:ind w:right="567"/>
        <w:rPr>
          <w:rFonts w:cstheme="minorHAnsi"/>
          <w:sz w:val="24"/>
          <w:szCs w:val="24"/>
        </w:rPr>
      </w:pPr>
      <w:r w:rsidRPr="00980D35">
        <w:rPr>
          <w:rFonts w:cstheme="minorHAnsi"/>
          <w:sz w:val="24"/>
          <w:szCs w:val="24"/>
        </w:rPr>
        <w:t>By these assessment processes we seek to ensure that our suppliers and providers are aware of this Modern Slavery Act compliance policy and trained in best practice and standards. We seek to ensure that such awareness exists throughout the supply chain.</w:t>
      </w:r>
    </w:p>
    <w:p w14:paraId="598C97B2" w14:textId="01A45AEA" w:rsidR="00961BFF" w:rsidRPr="00980D35" w:rsidRDefault="00961BFF" w:rsidP="00961BFF">
      <w:pPr>
        <w:spacing w:after="0"/>
        <w:ind w:right="567"/>
        <w:rPr>
          <w:rFonts w:cstheme="minorHAnsi"/>
          <w:sz w:val="24"/>
          <w:szCs w:val="24"/>
        </w:rPr>
      </w:pPr>
    </w:p>
    <w:p w14:paraId="6357DFE0" w14:textId="44DE0074" w:rsidR="00961BFF" w:rsidRPr="00980D35" w:rsidRDefault="00961BFF" w:rsidP="00961BFF">
      <w:pPr>
        <w:spacing w:after="0"/>
        <w:ind w:right="567"/>
        <w:rPr>
          <w:rFonts w:cstheme="minorHAnsi"/>
          <w:sz w:val="24"/>
          <w:szCs w:val="24"/>
        </w:rPr>
      </w:pPr>
      <w:r w:rsidRPr="00980D35">
        <w:rPr>
          <w:rFonts w:cstheme="minorHAnsi"/>
          <w:b/>
          <w:bCs/>
          <w:sz w:val="24"/>
          <w:szCs w:val="24"/>
        </w:rPr>
        <w:t>Responsibility</w:t>
      </w:r>
      <w:r w:rsidR="00980D35">
        <w:rPr>
          <w:rFonts w:cstheme="minorHAnsi"/>
          <w:b/>
          <w:bCs/>
          <w:sz w:val="24"/>
          <w:szCs w:val="24"/>
        </w:rPr>
        <w:t>:</w:t>
      </w:r>
    </w:p>
    <w:p w14:paraId="70DC32FC" w14:textId="1220CD35" w:rsidR="00961BFF" w:rsidRPr="00980D35" w:rsidRDefault="00961BFF" w:rsidP="00961BFF">
      <w:pPr>
        <w:spacing w:after="0"/>
        <w:ind w:right="567"/>
        <w:rPr>
          <w:rFonts w:cstheme="minorHAnsi"/>
          <w:sz w:val="24"/>
          <w:szCs w:val="24"/>
        </w:rPr>
      </w:pPr>
      <w:r w:rsidRPr="00980D35">
        <w:rPr>
          <w:rFonts w:cstheme="minorHAnsi"/>
          <w:sz w:val="24"/>
          <w:szCs w:val="24"/>
        </w:rPr>
        <w:t>The responsibility for the formulation, implementation and review of this policy lies with the;</w:t>
      </w:r>
    </w:p>
    <w:p w14:paraId="0F6D2B12" w14:textId="6A1A0995" w:rsidR="00961BFF" w:rsidRPr="00980D35" w:rsidRDefault="00961BFF" w:rsidP="00961BFF">
      <w:pPr>
        <w:spacing w:after="0"/>
        <w:ind w:right="567"/>
        <w:rPr>
          <w:rFonts w:cstheme="minorHAnsi"/>
          <w:sz w:val="24"/>
          <w:szCs w:val="24"/>
        </w:rPr>
      </w:pPr>
    </w:p>
    <w:p w14:paraId="03EE943D" w14:textId="2F711C13" w:rsidR="00961BFF" w:rsidRPr="00980D35" w:rsidRDefault="00961BFF" w:rsidP="00961BFF">
      <w:pPr>
        <w:pStyle w:val="ListParagraph"/>
        <w:numPr>
          <w:ilvl w:val="0"/>
          <w:numId w:val="11"/>
        </w:numPr>
        <w:spacing w:after="0"/>
        <w:ind w:right="567"/>
        <w:rPr>
          <w:rFonts w:cstheme="minorHAnsi"/>
          <w:sz w:val="24"/>
          <w:szCs w:val="24"/>
        </w:rPr>
      </w:pPr>
      <w:r w:rsidRPr="00980D35">
        <w:rPr>
          <w:rFonts w:cstheme="minorHAnsi"/>
          <w:sz w:val="24"/>
          <w:szCs w:val="24"/>
        </w:rPr>
        <w:t>Managing Director</w:t>
      </w:r>
    </w:p>
    <w:p w14:paraId="0710B3D9" w14:textId="53D8E215" w:rsidR="00961BFF" w:rsidRPr="00980D35" w:rsidRDefault="00D701AF" w:rsidP="00961BFF">
      <w:pPr>
        <w:pStyle w:val="ListParagraph"/>
        <w:numPr>
          <w:ilvl w:val="0"/>
          <w:numId w:val="11"/>
        </w:numPr>
        <w:spacing w:after="0"/>
        <w:ind w:right="567"/>
        <w:rPr>
          <w:rFonts w:cstheme="minorHAnsi"/>
          <w:sz w:val="24"/>
          <w:szCs w:val="24"/>
        </w:rPr>
      </w:pPr>
      <w:r w:rsidRPr="00980D35">
        <w:rPr>
          <w:rFonts w:cstheme="minorHAnsi"/>
          <w:sz w:val="24"/>
          <w:szCs w:val="24"/>
        </w:rPr>
        <w:t>Sustainability/</w:t>
      </w:r>
      <w:r w:rsidR="00980D35">
        <w:rPr>
          <w:rFonts w:cstheme="minorHAnsi"/>
          <w:sz w:val="24"/>
          <w:szCs w:val="24"/>
        </w:rPr>
        <w:t xml:space="preserve">Supply Chain </w:t>
      </w:r>
      <w:r w:rsidRPr="00980D35">
        <w:rPr>
          <w:rFonts w:cstheme="minorHAnsi"/>
          <w:sz w:val="24"/>
          <w:szCs w:val="24"/>
        </w:rPr>
        <w:t>Compliance Manager</w:t>
      </w:r>
    </w:p>
    <w:p w14:paraId="5828BAF9" w14:textId="59491598" w:rsidR="00961BFF" w:rsidRPr="00980D35" w:rsidRDefault="00961BFF" w:rsidP="00961BFF">
      <w:pPr>
        <w:spacing w:after="0"/>
        <w:ind w:right="567"/>
        <w:rPr>
          <w:rFonts w:cstheme="minorHAnsi"/>
          <w:sz w:val="24"/>
          <w:szCs w:val="24"/>
        </w:rPr>
      </w:pPr>
    </w:p>
    <w:p w14:paraId="63CE47C0" w14:textId="416EFC83" w:rsidR="00961BFF" w:rsidRPr="00980D35" w:rsidRDefault="00654DB7" w:rsidP="00961BFF">
      <w:pPr>
        <w:spacing w:after="0"/>
        <w:ind w:right="567"/>
        <w:rPr>
          <w:rFonts w:cstheme="minorHAnsi"/>
          <w:sz w:val="24"/>
          <w:szCs w:val="24"/>
        </w:rPr>
      </w:pPr>
      <w:r w:rsidRPr="00980D35">
        <w:rPr>
          <w:rFonts w:cstheme="minorHAnsi"/>
          <w:sz w:val="24"/>
          <w:szCs w:val="24"/>
        </w:rPr>
        <w:t>However,</w:t>
      </w:r>
      <w:r w:rsidR="00961BFF" w:rsidRPr="00980D35">
        <w:rPr>
          <w:rFonts w:cstheme="minorHAnsi"/>
          <w:sz w:val="24"/>
          <w:szCs w:val="24"/>
        </w:rPr>
        <w:t xml:space="preserve"> all members of staff are expected to report any concerns that they have relating to the compliance with The Act and of course they may invoke the Whistleblowing Policy </w:t>
      </w:r>
      <w:r w:rsidR="00D701AF" w:rsidRPr="00980D35">
        <w:rPr>
          <w:rFonts w:cstheme="minorHAnsi"/>
          <w:sz w:val="24"/>
          <w:szCs w:val="24"/>
        </w:rPr>
        <w:t>POL 003.</w:t>
      </w:r>
    </w:p>
    <w:p w14:paraId="4B323C04" w14:textId="61354403" w:rsidR="00961BFF" w:rsidRPr="00980D35" w:rsidRDefault="00961BFF" w:rsidP="00961BFF">
      <w:pPr>
        <w:spacing w:after="0"/>
        <w:ind w:right="567"/>
        <w:rPr>
          <w:rFonts w:cstheme="minorHAnsi"/>
          <w:sz w:val="24"/>
          <w:szCs w:val="24"/>
        </w:rPr>
      </w:pPr>
    </w:p>
    <w:p w14:paraId="1DB958FD" w14:textId="6580D902" w:rsidR="00961BFF" w:rsidRPr="00980D35" w:rsidRDefault="00961BFF" w:rsidP="00961BFF">
      <w:pPr>
        <w:spacing w:after="0"/>
        <w:ind w:right="567"/>
        <w:rPr>
          <w:rFonts w:cstheme="minorHAnsi"/>
          <w:sz w:val="24"/>
          <w:szCs w:val="24"/>
        </w:rPr>
      </w:pPr>
      <w:r w:rsidRPr="00980D35">
        <w:rPr>
          <w:rFonts w:cstheme="minorHAnsi"/>
          <w:b/>
          <w:bCs/>
          <w:sz w:val="24"/>
          <w:szCs w:val="24"/>
        </w:rPr>
        <w:t>Actions</w:t>
      </w:r>
      <w:r w:rsidR="00980D35">
        <w:rPr>
          <w:rFonts w:cstheme="minorHAnsi"/>
          <w:b/>
          <w:bCs/>
          <w:sz w:val="24"/>
          <w:szCs w:val="24"/>
        </w:rPr>
        <w:t>:</w:t>
      </w:r>
    </w:p>
    <w:p w14:paraId="5575BB30" w14:textId="0E092C3A" w:rsidR="00961BFF" w:rsidRPr="00980D35" w:rsidRDefault="00961BFF" w:rsidP="00961BFF">
      <w:pPr>
        <w:spacing w:after="0"/>
        <w:ind w:right="567"/>
        <w:rPr>
          <w:rFonts w:cstheme="minorHAnsi"/>
          <w:sz w:val="24"/>
          <w:szCs w:val="24"/>
        </w:rPr>
      </w:pPr>
      <w:r w:rsidRPr="00980D35">
        <w:rPr>
          <w:rFonts w:cstheme="minorHAnsi"/>
          <w:sz w:val="24"/>
          <w:szCs w:val="24"/>
        </w:rPr>
        <w:t>The Company will be obliged to report to the Authorities any organisation or individual that it reasonably believes is in breach of The Act.</w:t>
      </w:r>
    </w:p>
    <w:p w14:paraId="10F278D3" w14:textId="411202A1" w:rsidR="00961BFF" w:rsidRPr="00980D35" w:rsidRDefault="00961BFF" w:rsidP="00961BFF">
      <w:pPr>
        <w:spacing w:after="0"/>
        <w:ind w:right="567"/>
        <w:rPr>
          <w:rFonts w:cstheme="minorHAnsi"/>
          <w:sz w:val="24"/>
          <w:szCs w:val="24"/>
        </w:rPr>
      </w:pPr>
    </w:p>
    <w:p w14:paraId="6AFBBB5E" w14:textId="20116BA1" w:rsidR="00961BFF" w:rsidRPr="00980D35" w:rsidRDefault="00961BFF" w:rsidP="00961BFF">
      <w:pPr>
        <w:spacing w:after="0"/>
        <w:ind w:right="567"/>
        <w:rPr>
          <w:rFonts w:cstheme="minorHAnsi"/>
          <w:sz w:val="24"/>
          <w:szCs w:val="24"/>
        </w:rPr>
      </w:pPr>
      <w:r w:rsidRPr="00980D35">
        <w:rPr>
          <w:rFonts w:cstheme="minorHAnsi"/>
          <w:sz w:val="24"/>
          <w:szCs w:val="24"/>
        </w:rPr>
        <w:t>This policy will be reviewed annually as part of the Management Review procedures.  All staff are invited to input. Training will be provided within the annual training program. This policy is overviewed by the Managing Director.</w:t>
      </w:r>
    </w:p>
    <w:p w14:paraId="0832E869" w14:textId="77777777" w:rsidR="008769A1" w:rsidRDefault="008769A1" w:rsidP="00366324">
      <w:pPr>
        <w:spacing w:after="0"/>
        <w:ind w:right="567"/>
        <w:rPr>
          <w:rFonts w:cstheme="minorHAnsi"/>
          <w:b/>
          <w:bCs/>
          <w:sz w:val="24"/>
          <w:szCs w:val="24"/>
        </w:rPr>
      </w:pPr>
    </w:p>
    <w:p w14:paraId="61B9B00C" w14:textId="77777777" w:rsidR="008769A1" w:rsidRDefault="008769A1" w:rsidP="00366324">
      <w:pPr>
        <w:spacing w:after="0"/>
        <w:ind w:right="567"/>
        <w:rPr>
          <w:rFonts w:cstheme="minorHAnsi"/>
          <w:b/>
          <w:bCs/>
          <w:sz w:val="24"/>
          <w:szCs w:val="24"/>
        </w:rPr>
      </w:pPr>
    </w:p>
    <w:p w14:paraId="64D72316" w14:textId="384D4A94" w:rsidR="00366324" w:rsidRPr="00980D35" w:rsidRDefault="00366324" w:rsidP="00366324">
      <w:pPr>
        <w:spacing w:after="0"/>
        <w:ind w:right="567"/>
        <w:rPr>
          <w:rFonts w:cstheme="minorHAnsi"/>
          <w:sz w:val="24"/>
          <w:szCs w:val="24"/>
        </w:rPr>
      </w:pPr>
      <w:r w:rsidRPr="008769A1">
        <w:rPr>
          <w:rFonts w:cstheme="minorHAnsi"/>
          <w:b/>
          <w:bCs/>
          <w:sz w:val="24"/>
          <w:szCs w:val="24"/>
        </w:rPr>
        <w:t>SIGNED</w:t>
      </w:r>
      <w:r w:rsidR="008769A1" w:rsidRPr="008769A1">
        <w:rPr>
          <w:rFonts w:cstheme="minorHAnsi"/>
          <w:b/>
          <w:bCs/>
          <w:sz w:val="24"/>
          <w:szCs w:val="24"/>
        </w:rPr>
        <w:t>:</w:t>
      </w:r>
      <w:r w:rsidRPr="00980D35">
        <w:rPr>
          <w:rFonts w:cstheme="minorHAnsi"/>
          <w:sz w:val="24"/>
          <w:szCs w:val="24"/>
        </w:rPr>
        <w:tab/>
      </w:r>
      <w:r w:rsidR="00980D35">
        <w:rPr>
          <w:rFonts w:cstheme="minorHAnsi"/>
          <w:noProof/>
          <w:sz w:val="24"/>
          <w:szCs w:val="24"/>
        </w:rPr>
        <w:drawing>
          <wp:inline distT="0" distB="0" distL="0" distR="0" wp14:anchorId="56B0763C" wp14:editId="0810FDE8">
            <wp:extent cx="1739900" cy="736600"/>
            <wp:effectExtent l="0" t="0" r="0" b="6350"/>
            <wp:docPr id="704354789"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54789" name="Picture 1"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39900" cy="736600"/>
                    </a:xfrm>
                    <a:prstGeom prst="rect">
                      <a:avLst/>
                    </a:prstGeom>
                  </pic:spPr>
                </pic:pic>
              </a:graphicData>
            </a:graphic>
          </wp:inline>
        </w:drawing>
      </w:r>
      <w:r w:rsidRPr="00980D35">
        <w:rPr>
          <w:rFonts w:cstheme="minorHAnsi"/>
          <w:sz w:val="24"/>
          <w:szCs w:val="24"/>
        </w:rPr>
        <w:tab/>
      </w:r>
      <w:r w:rsidRPr="008769A1">
        <w:rPr>
          <w:rFonts w:cstheme="minorHAnsi"/>
          <w:b/>
          <w:bCs/>
          <w:sz w:val="24"/>
          <w:szCs w:val="24"/>
        </w:rPr>
        <w:t>DATED</w:t>
      </w:r>
      <w:r w:rsidR="008769A1" w:rsidRPr="008769A1">
        <w:rPr>
          <w:rFonts w:cstheme="minorHAnsi"/>
          <w:b/>
          <w:bCs/>
          <w:sz w:val="24"/>
          <w:szCs w:val="24"/>
        </w:rPr>
        <w:t>:</w:t>
      </w:r>
      <w:r w:rsidR="008769A1">
        <w:rPr>
          <w:rFonts w:cstheme="minorHAnsi"/>
          <w:sz w:val="24"/>
          <w:szCs w:val="24"/>
        </w:rPr>
        <w:t xml:space="preserve"> 19</w:t>
      </w:r>
      <w:r w:rsidR="008769A1" w:rsidRPr="008769A1">
        <w:rPr>
          <w:rFonts w:cstheme="minorHAnsi"/>
          <w:sz w:val="24"/>
          <w:szCs w:val="24"/>
          <w:vertAlign w:val="superscript"/>
        </w:rPr>
        <w:t>th</w:t>
      </w:r>
      <w:r w:rsidR="008769A1">
        <w:rPr>
          <w:rFonts w:cstheme="minorHAnsi"/>
          <w:sz w:val="24"/>
          <w:szCs w:val="24"/>
        </w:rPr>
        <w:t xml:space="preserve"> April 2024</w:t>
      </w:r>
    </w:p>
    <w:p w14:paraId="2C69DD48" w14:textId="77777777" w:rsidR="00366324" w:rsidRPr="00980D35" w:rsidRDefault="00366324" w:rsidP="00366324">
      <w:pPr>
        <w:pStyle w:val="ListParagraph"/>
        <w:spacing w:after="0"/>
        <w:ind w:left="927" w:right="567"/>
        <w:rPr>
          <w:rFonts w:cstheme="minorHAnsi"/>
          <w:sz w:val="24"/>
          <w:szCs w:val="24"/>
        </w:rPr>
      </w:pPr>
      <w:r w:rsidRPr="00980D35">
        <w:rPr>
          <w:rFonts w:cstheme="minorHAnsi"/>
          <w:sz w:val="24"/>
          <w:szCs w:val="24"/>
        </w:rPr>
        <w:tab/>
      </w:r>
    </w:p>
    <w:p w14:paraId="745AE846" w14:textId="77777777" w:rsidR="00366324" w:rsidRPr="008769A1" w:rsidRDefault="00366324" w:rsidP="00366324">
      <w:pPr>
        <w:spacing w:after="0"/>
        <w:ind w:right="567"/>
        <w:rPr>
          <w:rFonts w:cstheme="minorHAnsi"/>
          <w:b/>
          <w:bCs/>
          <w:sz w:val="24"/>
          <w:szCs w:val="24"/>
        </w:rPr>
      </w:pPr>
      <w:r w:rsidRPr="008769A1">
        <w:rPr>
          <w:rFonts w:cstheme="minorHAnsi"/>
          <w:b/>
          <w:bCs/>
          <w:sz w:val="24"/>
          <w:szCs w:val="24"/>
        </w:rPr>
        <w:t>Stuart Jukes</w:t>
      </w:r>
    </w:p>
    <w:p w14:paraId="7284C7D4" w14:textId="435894B2" w:rsidR="00961BFF" w:rsidRPr="00980D35" w:rsidRDefault="00366324" w:rsidP="00961BFF">
      <w:pPr>
        <w:spacing w:after="0"/>
        <w:ind w:right="567"/>
        <w:rPr>
          <w:rFonts w:cstheme="minorHAnsi"/>
          <w:sz w:val="24"/>
          <w:szCs w:val="24"/>
        </w:rPr>
      </w:pPr>
      <w:r w:rsidRPr="008769A1">
        <w:rPr>
          <w:rFonts w:cstheme="minorHAnsi"/>
          <w:b/>
          <w:bCs/>
          <w:sz w:val="24"/>
          <w:szCs w:val="24"/>
        </w:rPr>
        <w:t>Managing Director</w:t>
      </w:r>
      <w:r w:rsidRPr="00980D35">
        <w:rPr>
          <w:rFonts w:cstheme="minorHAnsi"/>
          <w:sz w:val="24"/>
          <w:szCs w:val="24"/>
        </w:rPr>
        <w:tab/>
      </w:r>
      <w:r w:rsidRPr="00980D35">
        <w:rPr>
          <w:rFonts w:cstheme="minorHAnsi"/>
          <w:sz w:val="24"/>
          <w:szCs w:val="24"/>
        </w:rPr>
        <w:tab/>
      </w:r>
      <w:r w:rsidRPr="00980D35">
        <w:rPr>
          <w:rFonts w:cstheme="minorHAnsi"/>
          <w:sz w:val="24"/>
          <w:szCs w:val="24"/>
        </w:rPr>
        <w:tab/>
      </w:r>
      <w:r w:rsidRPr="00980D35">
        <w:rPr>
          <w:rFonts w:cstheme="minorHAnsi"/>
          <w:sz w:val="24"/>
          <w:szCs w:val="24"/>
        </w:rPr>
        <w:tab/>
      </w:r>
      <w:r w:rsidRPr="008769A1">
        <w:rPr>
          <w:rFonts w:cstheme="minorHAnsi"/>
          <w:b/>
          <w:bCs/>
          <w:sz w:val="24"/>
          <w:szCs w:val="24"/>
        </w:rPr>
        <w:t>REVIEW DATE</w:t>
      </w:r>
      <w:r w:rsidR="008769A1">
        <w:rPr>
          <w:rFonts w:cstheme="minorHAnsi"/>
          <w:sz w:val="24"/>
          <w:szCs w:val="24"/>
        </w:rPr>
        <w:t>: 18</w:t>
      </w:r>
      <w:r w:rsidR="008769A1" w:rsidRPr="008769A1">
        <w:rPr>
          <w:rFonts w:cstheme="minorHAnsi"/>
          <w:sz w:val="24"/>
          <w:szCs w:val="24"/>
          <w:vertAlign w:val="superscript"/>
        </w:rPr>
        <w:t>th</w:t>
      </w:r>
      <w:r w:rsidR="008769A1">
        <w:rPr>
          <w:rFonts w:cstheme="minorHAnsi"/>
          <w:sz w:val="24"/>
          <w:szCs w:val="24"/>
        </w:rPr>
        <w:t xml:space="preserve"> April 2025</w:t>
      </w:r>
    </w:p>
    <w:sectPr w:rsidR="00961BFF" w:rsidRPr="00980D35" w:rsidSect="00AB4829">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DF38" w14:textId="77777777" w:rsidR="00316D56" w:rsidRDefault="00316D56" w:rsidP="00EC3D6D">
      <w:pPr>
        <w:spacing w:after="0" w:line="240" w:lineRule="auto"/>
      </w:pPr>
      <w:r>
        <w:separator/>
      </w:r>
    </w:p>
  </w:endnote>
  <w:endnote w:type="continuationSeparator" w:id="0">
    <w:p w14:paraId="1606DC56" w14:textId="77777777" w:rsidR="00316D56" w:rsidRDefault="00316D56" w:rsidP="00EC3D6D">
      <w:pPr>
        <w:spacing w:after="0" w:line="240" w:lineRule="auto"/>
      </w:pPr>
      <w:r>
        <w:continuationSeparator/>
      </w:r>
    </w:p>
  </w:endnote>
  <w:endnote w:type="continuationNotice" w:id="1">
    <w:p w14:paraId="436C11A4" w14:textId="77777777" w:rsidR="00316D56" w:rsidRDefault="00316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CB85" w14:textId="77777777" w:rsidR="003F0A1B" w:rsidRDefault="003F0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CEFE" w14:textId="77777777" w:rsidR="003F0A1B" w:rsidRDefault="003F0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C8B0" w14:textId="77777777" w:rsidR="003F0A1B" w:rsidRDefault="003F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B6CE" w14:textId="77777777" w:rsidR="00316D56" w:rsidRDefault="00316D56" w:rsidP="00EC3D6D">
      <w:pPr>
        <w:spacing w:after="0" w:line="240" w:lineRule="auto"/>
      </w:pPr>
      <w:r>
        <w:separator/>
      </w:r>
    </w:p>
  </w:footnote>
  <w:footnote w:type="continuationSeparator" w:id="0">
    <w:p w14:paraId="0DB7EB74" w14:textId="77777777" w:rsidR="00316D56" w:rsidRDefault="00316D56" w:rsidP="00EC3D6D">
      <w:pPr>
        <w:spacing w:after="0" w:line="240" w:lineRule="auto"/>
      </w:pPr>
      <w:r>
        <w:continuationSeparator/>
      </w:r>
    </w:p>
  </w:footnote>
  <w:footnote w:type="continuationNotice" w:id="1">
    <w:p w14:paraId="4E02AF7C" w14:textId="77777777" w:rsidR="00316D56" w:rsidRDefault="00316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C1ED" w14:textId="77777777" w:rsidR="003F0A1B" w:rsidRDefault="003F0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E7FF" w14:textId="1C6A39A1" w:rsidR="003F0A1B" w:rsidRDefault="003F0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68B7" w14:textId="77777777" w:rsidR="003F0A1B" w:rsidRDefault="003F0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5EA"/>
    <w:multiLevelType w:val="hybridMultilevel"/>
    <w:tmpl w:val="340AF076"/>
    <w:lvl w:ilvl="0" w:tplc="F5DC8A96">
      <w:start w:val="1"/>
      <w:numFmt w:val="lowerRoman"/>
      <w:lvlText w:val="%1)"/>
      <w:lvlJc w:val="left"/>
      <w:pPr>
        <w:ind w:left="2727" w:hanging="72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 w15:restartNumberingAfterBreak="0">
    <w:nsid w:val="16F56F79"/>
    <w:multiLevelType w:val="hybridMultilevel"/>
    <w:tmpl w:val="87DA2D40"/>
    <w:lvl w:ilvl="0" w:tplc="A7A86F46">
      <w:start w:val="1"/>
      <w:numFmt w:val="lowerRoman"/>
      <w:lvlText w:val="%1ii"/>
      <w:lvlJc w:val="left"/>
      <w:pPr>
        <w:ind w:left="2004" w:hanging="360"/>
      </w:pPr>
      <w:rPr>
        <w:rFonts w:hint="default"/>
      </w:rPr>
    </w:lvl>
    <w:lvl w:ilvl="1" w:tplc="08090019" w:tentative="1">
      <w:start w:val="1"/>
      <w:numFmt w:val="lowerLetter"/>
      <w:lvlText w:val="%2."/>
      <w:lvlJc w:val="left"/>
      <w:pPr>
        <w:ind w:left="2724" w:hanging="360"/>
      </w:pPr>
    </w:lvl>
    <w:lvl w:ilvl="2" w:tplc="0809001B" w:tentative="1">
      <w:start w:val="1"/>
      <w:numFmt w:val="lowerRoman"/>
      <w:lvlText w:val="%3."/>
      <w:lvlJc w:val="right"/>
      <w:pPr>
        <w:ind w:left="3444" w:hanging="180"/>
      </w:pPr>
    </w:lvl>
    <w:lvl w:ilvl="3" w:tplc="0809000F" w:tentative="1">
      <w:start w:val="1"/>
      <w:numFmt w:val="decimal"/>
      <w:lvlText w:val="%4."/>
      <w:lvlJc w:val="left"/>
      <w:pPr>
        <w:ind w:left="4164" w:hanging="360"/>
      </w:pPr>
    </w:lvl>
    <w:lvl w:ilvl="4" w:tplc="08090019" w:tentative="1">
      <w:start w:val="1"/>
      <w:numFmt w:val="lowerLetter"/>
      <w:lvlText w:val="%5."/>
      <w:lvlJc w:val="left"/>
      <w:pPr>
        <w:ind w:left="4884" w:hanging="360"/>
      </w:pPr>
    </w:lvl>
    <w:lvl w:ilvl="5" w:tplc="0809001B" w:tentative="1">
      <w:start w:val="1"/>
      <w:numFmt w:val="lowerRoman"/>
      <w:lvlText w:val="%6."/>
      <w:lvlJc w:val="right"/>
      <w:pPr>
        <w:ind w:left="5604" w:hanging="180"/>
      </w:pPr>
    </w:lvl>
    <w:lvl w:ilvl="6" w:tplc="0809000F" w:tentative="1">
      <w:start w:val="1"/>
      <w:numFmt w:val="decimal"/>
      <w:lvlText w:val="%7."/>
      <w:lvlJc w:val="left"/>
      <w:pPr>
        <w:ind w:left="6324" w:hanging="360"/>
      </w:pPr>
    </w:lvl>
    <w:lvl w:ilvl="7" w:tplc="08090019" w:tentative="1">
      <w:start w:val="1"/>
      <w:numFmt w:val="lowerLetter"/>
      <w:lvlText w:val="%8."/>
      <w:lvlJc w:val="left"/>
      <w:pPr>
        <w:ind w:left="7044" w:hanging="360"/>
      </w:pPr>
    </w:lvl>
    <w:lvl w:ilvl="8" w:tplc="0809001B" w:tentative="1">
      <w:start w:val="1"/>
      <w:numFmt w:val="lowerRoman"/>
      <w:lvlText w:val="%9."/>
      <w:lvlJc w:val="right"/>
      <w:pPr>
        <w:ind w:left="7764" w:hanging="180"/>
      </w:pPr>
    </w:lvl>
  </w:abstractNum>
  <w:abstractNum w:abstractNumId="2" w15:restartNumberingAfterBreak="0">
    <w:nsid w:val="1F8B5078"/>
    <w:multiLevelType w:val="hybridMultilevel"/>
    <w:tmpl w:val="A0D22384"/>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3" w15:restartNumberingAfterBreak="0">
    <w:nsid w:val="30FE387F"/>
    <w:multiLevelType w:val="hybridMultilevel"/>
    <w:tmpl w:val="6156A108"/>
    <w:lvl w:ilvl="0" w:tplc="A7A86F46">
      <w:start w:val="1"/>
      <w:numFmt w:val="lowerRoman"/>
      <w:lvlText w:val="%1ii"/>
      <w:lvlJc w:val="left"/>
      <w:pPr>
        <w:ind w:left="236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040C9"/>
    <w:multiLevelType w:val="hybridMultilevel"/>
    <w:tmpl w:val="65B08BEA"/>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5" w15:restartNumberingAfterBreak="0">
    <w:nsid w:val="32E53F57"/>
    <w:multiLevelType w:val="multilevel"/>
    <w:tmpl w:val="433CD776"/>
    <w:lvl w:ilvl="0">
      <w:start w:val="5"/>
      <w:numFmt w:val="decimal"/>
      <w:lvlText w:val="%1"/>
      <w:lvlJc w:val="left"/>
      <w:pPr>
        <w:ind w:left="570" w:hanging="570"/>
      </w:pPr>
      <w:rPr>
        <w:rFonts w:hint="default"/>
      </w:rPr>
    </w:lvl>
    <w:lvl w:ilvl="1">
      <w:start w:val="3"/>
      <w:numFmt w:val="decimal"/>
      <w:lvlText w:val="%1.%2"/>
      <w:lvlJc w:val="left"/>
      <w:pPr>
        <w:ind w:left="1183" w:hanging="72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6" w15:restartNumberingAfterBreak="0">
    <w:nsid w:val="4C291374"/>
    <w:multiLevelType w:val="hybridMultilevel"/>
    <w:tmpl w:val="E1EA82FA"/>
    <w:lvl w:ilvl="0" w:tplc="61D46DCE">
      <w:start w:val="1"/>
      <w:numFmt w:val="lowerLetter"/>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7" w15:restartNumberingAfterBreak="0">
    <w:nsid w:val="54EF0DD1"/>
    <w:multiLevelType w:val="hybridMultilevel"/>
    <w:tmpl w:val="73BE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37B1F"/>
    <w:multiLevelType w:val="hybridMultilevel"/>
    <w:tmpl w:val="65D0779C"/>
    <w:lvl w:ilvl="0" w:tplc="86F87AE6">
      <w:start w:val="1"/>
      <w:numFmt w:val="lowerLetter"/>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9" w15:restartNumberingAfterBreak="0">
    <w:nsid w:val="6FC06940"/>
    <w:multiLevelType w:val="multilevel"/>
    <w:tmpl w:val="4E36DD3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2916BDE"/>
    <w:multiLevelType w:val="hybridMultilevel"/>
    <w:tmpl w:val="A2C83C30"/>
    <w:lvl w:ilvl="0" w:tplc="2684DF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76727538">
    <w:abstractNumId w:val="9"/>
  </w:num>
  <w:num w:numId="2" w16cid:durableId="1153520519">
    <w:abstractNumId w:val="2"/>
  </w:num>
  <w:num w:numId="3" w16cid:durableId="836730317">
    <w:abstractNumId w:val="5"/>
  </w:num>
  <w:num w:numId="4" w16cid:durableId="670596576">
    <w:abstractNumId w:val="8"/>
  </w:num>
  <w:num w:numId="5" w16cid:durableId="2142651375">
    <w:abstractNumId w:val="0"/>
  </w:num>
  <w:num w:numId="6" w16cid:durableId="796410127">
    <w:abstractNumId w:val="10"/>
  </w:num>
  <w:num w:numId="7" w16cid:durableId="591595624">
    <w:abstractNumId w:val="3"/>
  </w:num>
  <w:num w:numId="8" w16cid:durableId="665284555">
    <w:abstractNumId w:val="1"/>
  </w:num>
  <w:num w:numId="9" w16cid:durableId="1929533616">
    <w:abstractNumId w:val="4"/>
  </w:num>
  <w:num w:numId="10" w16cid:durableId="626668251">
    <w:abstractNumId w:val="6"/>
  </w:num>
  <w:num w:numId="11" w16cid:durableId="1937976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0D"/>
    <w:rsid w:val="00027D29"/>
    <w:rsid w:val="0007239D"/>
    <w:rsid w:val="000B1664"/>
    <w:rsid w:val="000D280E"/>
    <w:rsid w:val="000E7E18"/>
    <w:rsid w:val="000F2981"/>
    <w:rsid w:val="00111F68"/>
    <w:rsid w:val="00126BC9"/>
    <w:rsid w:val="00175611"/>
    <w:rsid w:val="001C2480"/>
    <w:rsid w:val="001E5FF8"/>
    <w:rsid w:val="001F7815"/>
    <w:rsid w:val="0023560D"/>
    <w:rsid w:val="00241A74"/>
    <w:rsid w:val="00250517"/>
    <w:rsid w:val="0025454F"/>
    <w:rsid w:val="00255B00"/>
    <w:rsid w:val="00264B63"/>
    <w:rsid w:val="0027425C"/>
    <w:rsid w:val="0030083A"/>
    <w:rsid w:val="00316D56"/>
    <w:rsid w:val="0033321A"/>
    <w:rsid w:val="00333340"/>
    <w:rsid w:val="00366324"/>
    <w:rsid w:val="003C0B43"/>
    <w:rsid w:val="003F0A1B"/>
    <w:rsid w:val="00442822"/>
    <w:rsid w:val="00442AB8"/>
    <w:rsid w:val="00467183"/>
    <w:rsid w:val="004A18DB"/>
    <w:rsid w:val="004B3FDF"/>
    <w:rsid w:val="00555AFB"/>
    <w:rsid w:val="005A3891"/>
    <w:rsid w:val="005B48A7"/>
    <w:rsid w:val="006077F2"/>
    <w:rsid w:val="006208A0"/>
    <w:rsid w:val="00654DB7"/>
    <w:rsid w:val="00663D58"/>
    <w:rsid w:val="00676761"/>
    <w:rsid w:val="006B5C9C"/>
    <w:rsid w:val="006B6E8D"/>
    <w:rsid w:val="00760920"/>
    <w:rsid w:val="007A6A5E"/>
    <w:rsid w:val="00817D5E"/>
    <w:rsid w:val="008769A1"/>
    <w:rsid w:val="00916CE5"/>
    <w:rsid w:val="009251BB"/>
    <w:rsid w:val="00961BFF"/>
    <w:rsid w:val="00980D35"/>
    <w:rsid w:val="009C6D90"/>
    <w:rsid w:val="00A16051"/>
    <w:rsid w:val="00A52059"/>
    <w:rsid w:val="00A559A4"/>
    <w:rsid w:val="00A56964"/>
    <w:rsid w:val="00A569B5"/>
    <w:rsid w:val="00AB4829"/>
    <w:rsid w:val="00AC0ECF"/>
    <w:rsid w:val="00AC6D04"/>
    <w:rsid w:val="00AC7ACF"/>
    <w:rsid w:val="00AD446D"/>
    <w:rsid w:val="00AE5EB7"/>
    <w:rsid w:val="00AF6149"/>
    <w:rsid w:val="00AF7A4E"/>
    <w:rsid w:val="00B030A9"/>
    <w:rsid w:val="00B673C5"/>
    <w:rsid w:val="00B73C84"/>
    <w:rsid w:val="00B92642"/>
    <w:rsid w:val="00BA235C"/>
    <w:rsid w:val="00BD18EF"/>
    <w:rsid w:val="00C2717D"/>
    <w:rsid w:val="00C819CD"/>
    <w:rsid w:val="00C84B4B"/>
    <w:rsid w:val="00CB2E02"/>
    <w:rsid w:val="00CD31FD"/>
    <w:rsid w:val="00CE14DA"/>
    <w:rsid w:val="00CE5959"/>
    <w:rsid w:val="00CF33ED"/>
    <w:rsid w:val="00D50320"/>
    <w:rsid w:val="00D701AF"/>
    <w:rsid w:val="00D87C0A"/>
    <w:rsid w:val="00D93528"/>
    <w:rsid w:val="00DD31F5"/>
    <w:rsid w:val="00DD37C9"/>
    <w:rsid w:val="00E23CB0"/>
    <w:rsid w:val="00E24F4F"/>
    <w:rsid w:val="00E378D0"/>
    <w:rsid w:val="00E563A0"/>
    <w:rsid w:val="00E74CCF"/>
    <w:rsid w:val="00E924C5"/>
    <w:rsid w:val="00EB5678"/>
    <w:rsid w:val="00EC1AD1"/>
    <w:rsid w:val="00EC3D6D"/>
    <w:rsid w:val="00EC5A17"/>
    <w:rsid w:val="00EF1C2A"/>
    <w:rsid w:val="00F05FFE"/>
    <w:rsid w:val="00F50A5C"/>
    <w:rsid w:val="00F57C8A"/>
    <w:rsid w:val="00F64D99"/>
    <w:rsid w:val="00F66D68"/>
    <w:rsid w:val="00F90528"/>
    <w:rsid w:val="00FA060F"/>
    <w:rsid w:val="00FA1C9E"/>
    <w:rsid w:val="00FD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AD22"/>
  <w15:chartTrackingRefBased/>
  <w15:docId w15:val="{76E45F05-9815-46A2-9B74-BDAD91F5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D6D"/>
  </w:style>
  <w:style w:type="paragraph" w:styleId="Footer">
    <w:name w:val="footer"/>
    <w:basedOn w:val="Normal"/>
    <w:link w:val="FooterChar"/>
    <w:uiPriority w:val="99"/>
    <w:unhideWhenUsed/>
    <w:rsid w:val="00EC3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6D"/>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1C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1C2A"/>
    <w:rPr>
      <w:rFonts w:eastAsiaTheme="minorEastAsia"/>
      <w:lang w:val="en-US"/>
    </w:rPr>
  </w:style>
  <w:style w:type="character" w:styleId="Hyperlink">
    <w:name w:val="Hyperlink"/>
    <w:basedOn w:val="DefaultParagraphFont"/>
    <w:uiPriority w:val="99"/>
    <w:unhideWhenUsed/>
    <w:rsid w:val="00126BC9"/>
    <w:rPr>
      <w:color w:val="0563C1" w:themeColor="hyperlink"/>
      <w:u w:val="single"/>
    </w:rPr>
  </w:style>
  <w:style w:type="character" w:styleId="UnresolvedMention">
    <w:name w:val="Unresolved Mention"/>
    <w:basedOn w:val="DefaultParagraphFont"/>
    <w:uiPriority w:val="99"/>
    <w:semiHidden/>
    <w:unhideWhenUsed/>
    <w:rsid w:val="00126BC9"/>
    <w:rPr>
      <w:color w:val="605E5C"/>
      <w:shd w:val="clear" w:color="auto" w:fill="E1DFDD"/>
    </w:rPr>
  </w:style>
  <w:style w:type="paragraph" w:styleId="ListParagraph">
    <w:name w:val="List Paragraph"/>
    <w:basedOn w:val="Normal"/>
    <w:uiPriority w:val="34"/>
    <w:qFormat/>
    <w:rsid w:val="00E378D0"/>
    <w:pPr>
      <w:ind w:left="720"/>
      <w:contextualSpacing/>
    </w:pPr>
  </w:style>
  <w:style w:type="character" w:customStyle="1" w:styleId="Heading1Char">
    <w:name w:val="Heading 1 Char"/>
    <w:basedOn w:val="DefaultParagraphFont"/>
    <w:link w:val="Heading1"/>
    <w:uiPriority w:val="9"/>
    <w:rsid w:val="00CB2E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2E0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CB2E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2E0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CB2E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3BB"/>
        </a:solidFill>
        <a:ln>
          <a:solidFill>
            <a:srgbClr val="0073BB"/>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48112B30FB740922A7FD5027D5516" ma:contentTypeVersion="18" ma:contentTypeDescription="Create a new document." ma:contentTypeScope="" ma:versionID="193a810576accd776ffc7ab77d9efca0">
  <xsd:schema xmlns:xsd="http://www.w3.org/2001/XMLSchema" xmlns:xs="http://www.w3.org/2001/XMLSchema" xmlns:p="http://schemas.microsoft.com/office/2006/metadata/properties" xmlns:ns2="34cfc58f-5e7c-4f3a-8873-606382a24405" xmlns:ns3="8a7b5d89-04fc-46f9-98ff-2ba0622999d3" targetNamespace="http://schemas.microsoft.com/office/2006/metadata/properties" ma:root="true" ma:fieldsID="efb59eb76a5291ebf21b877ab11bc649" ns2:_="" ns3:_="">
    <xsd:import namespace="34cfc58f-5e7c-4f3a-8873-606382a24405"/>
    <xsd:import namespace="8a7b5d89-04fc-46f9-98ff-2ba062299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c58f-5e7c-4f3a-8873-606382a24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59c6-c9a0-4445-9bc9-a4318812f1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5d89-04fc-46f9-98ff-2ba0622999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b8dc3-2bbd-4287-8117-9df19c654599}" ma:internalName="TaxCatchAll" ma:showField="CatchAllData" ma:web="8a7b5d89-04fc-46f9-98ff-2ba062299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7b5d89-04fc-46f9-98ff-2ba0622999d3" xsi:nil="true"/>
    <lcf76f155ced4ddcb4097134ff3c332f xmlns="34cfc58f-5e7c-4f3a-8873-606382a244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FDAB-88DC-49C0-8D18-408A4A876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c58f-5e7c-4f3a-8873-606382a24405"/>
    <ds:schemaRef ds:uri="8a7b5d89-04fc-46f9-98ff-2ba062299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7C550-676F-42A6-B029-34FD7AA4BE89}">
  <ds:schemaRefs>
    <ds:schemaRef ds:uri="http://schemas.microsoft.com/sharepoint/v3/contenttype/forms"/>
  </ds:schemaRefs>
</ds:datastoreItem>
</file>

<file path=customXml/itemProps3.xml><?xml version="1.0" encoding="utf-8"?>
<ds:datastoreItem xmlns:ds="http://schemas.openxmlformats.org/officeDocument/2006/customXml" ds:itemID="{6B02FE00-0F87-41BB-B761-3447EE9C6468}">
  <ds:schemaRefs>
    <ds:schemaRef ds:uri="http://schemas.microsoft.com/office/2006/metadata/properties"/>
    <ds:schemaRef ds:uri="http://schemas.microsoft.com/office/infopath/2007/PartnerControls"/>
    <ds:schemaRef ds:uri="8a7b5d89-04fc-46f9-98ff-2ba0622999d3"/>
    <ds:schemaRef ds:uri="34cfc58f-5e7c-4f3a-8873-606382a24405"/>
  </ds:schemaRefs>
</ds:datastoreItem>
</file>

<file path=customXml/itemProps4.xml><?xml version="1.0" encoding="utf-8"?>
<ds:datastoreItem xmlns:ds="http://schemas.openxmlformats.org/officeDocument/2006/customXml" ds:itemID="{9014407A-FBC4-4DC1-9523-06F72853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Toni Nash</cp:lastModifiedBy>
  <cp:revision>3</cp:revision>
  <dcterms:created xsi:type="dcterms:W3CDTF">2024-04-19T10:17:00Z</dcterms:created>
  <dcterms:modified xsi:type="dcterms:W3CDTF">2024-04-19T13:37:00Z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0x0101005A748112B30FB740922A7FD5027D5516</vt:lpwstr>
  </property>
  <property fmtid="{D5CDD505-2E9C-101B-9397-08002B2CF9AE}" pid="3" name="Order">
    <vt:r8>45338200</vt:r8>
  </property>
  <property fmtid="{D5CDD505-2E9C-101B-9397-08002B2CF9AE}" pid="4" name="MediaServiceImageTags">
    <vt:lpwstr/>
  </property>
</Properties>
</file>